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0B69C" w14:textId="657389F7" w:rsidR="0031384B" w:rsidRPr="0031384B" w:rsidRDefault="0031384B" w:rsidP="0031384B">
      <w:pPr>
        <w:spacing w:after="300" w:line="240" w:lineRule="auto"/>
        <w:jc w:val="both"/>
        <w:outlineLvl w:val="0"/>
        <w:rPr>
          <w:rFonts w:ascii="Tahoma" w:eastAsia="Times New Roman" w:hAnsi="Tahoma" w:cs="Tahoma"/>
          <w:b/>
          <w:bCs/>
          <w:color w:val="003C80"/>
          <w:kern w:val="36"/>
          <w:sz w:val="27"/>
          <w:szCs w:val="27"/>
          <w:lang w:eastAsia="ru-RU"/>
        </w:rPr>
      </w:pPr>
      <w:r w:rsidRPr="0031384B">
        <w:rPr>
          <w:rFonts w:ascii="Tahoma" w:eastAsia="Times New Roman" w:hAnsi="Tahoma" w:cs="Tahoma"/>
          <w:b/>
          <w:bCs/>
          <w:color w:val="003C80"/>
          <w:kern w:val="36"/>
          <w:sz w:val="27"/>
          <w:szCs w:val="27"/>
          <w:lang w:eastAsia="ru-RU"/>
        </w:rPr>
        <w:t>Стандартные налоговые вычеты</w:t>
      </w:r>
    </w:p>
    <w:p w14:paraId="58BA7A3A" w14:textId="77777777" w:rsidR="0031384B" w:rsidRPr="0031384B" w:rsidRDefault="0031384B" w:rsidP="0031384B">
      <w:pPr>
        <w:spacing w:after="0" w:line="240" w:lineRule="auto"/>
        <w:rPr>
          <w:rFonts w:ascii="Times New Roman" w:eastAsia="Times New Roman" w:hAnsi="Times New Roman" w:cs="Times New Roman"/>
          <w:color w:val="333333"/>
          <w:sz w:val="28"/>
          <w:szCs w:val="28"/>
          <w:lang w:eastAsia="ru-RU"/>
        </w:rPr>
      </w:pPr>
      <w:bookmarkStart w:id="0" w:name="text"/>
      <w:bookmarkStart w:id="1" w:name="_GoBack"/>
      <w:bookmarkEnd w:id="0"/>
      <w:r w:rsidRPr="0031384B">
        <w:rPr>
          <w:rFonts w:ascii="Times New Roman" w:eastAsia="Times New Roman" w:hAnsi="Times New Roman" w:cs="Times New Roman"/>
          <w:b/>
          <w:bCs/>
          <w:color w:val="000080"/>
          <w:sz w:val="28"/>
          <w:szCs w:val="28"/>
          <w:lang w:eastAsia="ru-RU"/>
        </w:rPr>
        <w:t>Статья 218.</w:t>
      </w:r>
      <w:r w:rsidRPr="0031384B">
        <w:rPr>
          <w:rFonts w:ascii="Times New Roman" w:eastAsia="Times New Roman" w:hAnsi="Times New Roman" w:cs="Times New Roman"/>
          <w:color w:val="333333"/>
          <w:sz w:val="28"/>
          <w:szCs w:val="28"/>
          <w:lang w:eastAsia="ru-RU"/>
        </w:rPr>
        <w:t> Стандартные налоговые вычеты</w:t>
      </w:r>
    </w:p>
    <w:p w14:paraId="04EFF112"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1. При определении размера налоговых баз в соответствии с </w:t>
      </w:r>
      <w:hyperlink r:id="rId4" w:anchor="block_21003" w:history="1">
        <w:r w:rsidRPr="0031384B">
          <w:rPr>
            <w:rFonts w:ascii="Times New Roman" w:eastAsia="Times New Roman" w:hAnsi="Times New Roman" w:cs="Times New Roman"/>
            <w:color w:val="336699"/>
            <w:sz w:val="28"/>
            <w:szCs w:val="28"/>
            <w:u w:val="single"/>
            <w:lang w:eastAsia="ru-RU"/>
          </w:rPr>
          <w:t>пунктом 3</w:t>
        </w:r>
      </w:hyperlink>
      <w:r w:rsidRPr="0031384B">
        <w:rPr>
          <w:rFonts w:ascii="Times New Roman" w:eastAsia="Times New Roman" w:hAnsi="Times New Roman" w:cs="Times New Roman"/>
          <w:color w:val="333333"/>
          <w:sz w:val="28"/>
          <w:szCs w:val="28"/>
          <w:lang w:eastAsia="ru-RU"/>
        </w:rPr>
        <w:t> или </w:t>
      </w:r>
      <w:hyperlink r:id="rId5" w:anchor="block_21006" w:history="1">
        <w:r w:rsidRPr="0031384B">
          <w:rPr>
            <w:rFonts w:ascii="Times New Roman" w:eastAsia="Times New Roman" w:hAnsi="Times New Roman" w:cs="Times New Roman"/>
            <w:color w:val="336699"/>
            <w:sz w:val="28"/>
            <w:szCs w:val="28"/>
            <w:u w:val="single"/>
            <w:lang w:eastAsia="ru-RU"/>
          </w:rPr>
          <w:t>6 статьи 210</w:t>
        </w:r>
      </w:hyperlink>
      <w:r w:rsidRPr="0031384B">
        <w:rPr>
          <w:rFonts w:ascii="Times New Roman" w:eastAsia="Times New Roman" w:hAnsi="Times New Roman" w:cs="Times New Roman"/>
          <w:color w:val="333333"/>
          <w:sz w:val="28"/>
          <w:szCs w:val="28"/>
          <w:lang w:eastAsia="ru-RU"/>
        </w:rPr>
        <w:t> настоящего Кодекса налогоплательщик имеет право на получение следующих стандартных налоговых вычетов:</w:t>
      </w:r>
    </w:p>
    <w:p w14:paraId="03FFE588"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1) в размере 3 000 рублей за каждый месяц налогового периода распространяется на следующие категории налогоплательщиков:</w:t>
      </w:r>
    </w:p>
    <w:p w14:paraId="0B154968"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получивших или перенесших лучевую болезнь и другие заболевания,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w:t>
      </w:r>
    </w:p>
    <w:p w14:paraId="4AADDAB2"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получивших инвалидность вследствие катастрофы на Чернобыльской АЭС из числа лиц, принимавших участие в ликвидации последствий катастрофы в пределах зоны отчуждения Чернобыльской АЭС или занятых в эксплуатации или на других работах на Чернобыльской АЭС (в том числе временно направленных или командированных), военнослужащих и военнообязанных, призванных на специальные сборы и привлеченных к выполнению работ, связанных с ликвидацией последствий катастрофы на Чернобыльской АЭС, независимо от места дислокации указанных лиц и выполняемых ими работ, а также лиц рядового и начальствующего состава органов внутренних дел, Государственной противопожарной службы, федеральной противопожарной службы Государственной противопожарной службы, лиц, проходящих службу в войсках национальной гвардии Российской Федерации и имеющих специальные звания полиции, сотрудников органов внутренних дел, федеральной противопожарной службы Государственной противопожарной службы, проходивших (проходящих) службу в зоне отчуждения, лиц, эвакуированных из зоны отчуждения Чернобыльской АЭС и переселенных из зоны отселения либо выехавших в добровольном порядке из указанных зон, лиц, отдавших костный мозг для спасения жизни людей, пострадавших вследствие катастрофы на Чернобыльской АЭС, независимо от времени, прошедшего со дня проведения операции по трансплантации костного мозга и времени развития у этих лиц в этой связи инвалидности;</w:t>
      </w:r>
    </w:p>
    <w:p w14:paraId="0AABB62F"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принимавших в 1986-1987 годах участие в работах по ликвидации последствий катастрофы на Чернобыльской АЭС в пределах зоны отчуждения Чернобыльской АЭС или занятых в этот период на работах, связанных с эвакуацией населения, материальных ценностей, сельскохозяйственных животных, и в эксплуатации или на других работах на Чернобыльской АЭС (в том числе временно направленных или командированных);</w:t>
      </w:r>
    </w:p>
    <w:p w14:paraId="7878E28B"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 xml:space="preserve">военнослужащих, граждан, уволенных с военной службы, а также военнообязанных, призванных на специальные сборы и привлеченных в этот период для выполнения работ, связанных с ликвидацией последствий катастрофы на Чернобыльской АЭС, включая взлетно-подъемный, </w:t>
      </w:r>
      <w:r w:rsidRPr="0031384B">
        <w:rPr>
          <w:rFonts w:ascii="Times New Roman" w:eastAsia="Times New Roman" w:hAnsi="Times New Roman" w:cs="Times New Roman"/>
          <w:color w:val="333333"/>
          <w:sz w:val="28"/>
          <w:szCs w:val="28"/>
          <w:lang w:eastAsia="ru-RU"/>
        </w:rPr>
        <w:lastRenderedPageBreak/>
        <w:t>инженерно-технический составы гражданской авиации, независимо от места дислокации и выполняемых ими работ;</w:t>
      </w:r>
    </w:p>
    <w:p w14:paraId="5097D48C"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начальствующего и рядового состава органов внутренних дел, Государственной противопожарной службы, в том числе граждан, уволенных с военной службы, проходивших в 1986 - 1987 годах службу в зоне отчуждения Чернобыльской АЭС;</w:t>
      </w:r>
    </w:p>
    <w:p w14:paraId="6BC1E7FB"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военнослужащих, граждан, уволенных с военной службы, а также военнообязанных, призванных на военные сборы и принимавших участие в 1988-1990 годах в работах по объекту "Укрытие";</w:t>
      </w:r>
    </w:p>
    <w:p w14:paraId="08ED8252"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 xml:space="preserve">ставших инвалидами, получившими или перенесшими лучевую болезнь и другие заболевания вследствие аварии в 1957 году на производственном объединении "Маяк" и сбросов радиоактивных отходов в реку Теча, из числа лиц, принимавших (в том числе временно направленных или командированных) в 1957-1958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Теча в 1949-1956 годах, лиц, принимавших (в том числе временно направленных или командированных) в 1959-1961 годах непосредственное участие в работах по ликвидации последствий аварии на производственном объединении "Маяк" в 1957 году, 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гражданам относятся лица, выехавшие в период с 29 сентября 1957 года по 31 декабря 1958 года из населенных пунктов, подвергшихся радиоактивному загрязнению вследствие аварии в 1957 году на производственном объединении "Маяк", а также лица, выехавшие в период с 1949 по 1956 год включительно из населенных пунктов, подвергшихся радиоактивному загрязнению вследствие сбросов радиоактивных отходов в реку Теча), лиц,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среднегодовая эффективная эквивалентная доза облучения составляла на 20 мая 1993 года свыше 1 </w:t>
      </w:r>
      <w:proofErr w:type="spellStart"/>
      <w:r w:rsidRPr="0031384B">
        <w:rPr>
          <w:rFonts w:ascii="Times New Roman" w:eastAsia="Times New Roman" w:hAnsi="Times New Roman" w:cs="Times New Roman"/>
          <w:color w:val="333333"/>
          <w:sz w:val="28"/>
          <w:szCs w:val="28"/>
          <w:lang w:eastAsia="ru-RU"/>
        </w:rPr>
        <w:t>мЗв</w:t>
      </w:r>
      <w:proofErr w:type="spellEnd"/>
      <w:r w:rsidRPr="0031384B">
        <w:rPr>
          <w:rFonts w:ascii="Times New Roman" w:eastAsia="Times New Roman" w:hAnsi="Times New Roman" w:cs="Times New Roman"/>
          <w:color w:val="333333"/>
          <w:sz w:val="28"/>
          <w:szCs w:val="28"/>
          <w:lang w:eastAsia="ru-RU"/>
        </w:rPr>
        <w:t xml:space="preserve"> (дополнительно по сравнению с уровнем естественного радиационного фона для данной местности), лиц, выехавших добровольно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среднегодовая эффективная эквивалентная доза облучения составляла на 20 </w:t>
      </w:r>
      <w:r w:rsidRPr="0031384B">
        <w:rPr>
          <w:rFonts w:ascii="Times New Roman" w:eastAsia="Times New Roman" w:hAnsi="Times New Roman" w:cs="Times New Roman"/>
          <w:color w:val="333333"/>
          <w:sz w:val="28"/>
          <w:szCs w:val="28"/>
          <w:lang w:eastAsia="ru-RU"/>
        </w:rPr>
        <w:lastRenderedPageBreak/>
        <w:t xml:space="preserve">мая 1993 года свыше 1 </w:t>
      </w:r>
      <w:proofErr w:type="spellStart"/>
      <w:r w:rsidRPr="0031384B">
        <w:rPr>
          <w:rFonts w:ascii="Times New Roman" w:eastAsia="Times New Roman" w:hAnsi="Times New Roman" w:cs="Times New Roman"/>
          <w:color w:val="333333"/>
          <w:sz w:val="28"/>
          <w:szCs w:val="28"/>
          <w:lang w:eastAsia="ru-RU"/>
        </w:rPr>
        <w:t>мЗв</w:t>
      </w:r>
      <w:proofErr w:type="spellEnd"/>
      <w:r w:rsidRPr="0031384B">
        <w:rPr>
          <w:rFonts w:ascii="Times New Roman" w:eastAsia="Times New Roman" w:hAnsi="Times New Roman" w:cs="Times New Roman"/>
          <w:color w:val="333333"/>
          <w:sz w:val="28"/>
          <w:szCs w:val="28"/>
          <w:lang w:eastAsia="ru-RU"/>
        </w:rPr>
        <w:t xml:space="preserve"> (дополнительно по сравнению с уровнем естественного радиационного фона для данной местности);</w:t>
      </w:r>
    </w:p>
    <w:p w14:paraId="1AAD3A44"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непосредственно участвовавших в испытаниях ядерного оружия в атмосфере и боевых радиоактивных веществ, учениях с применением такого оружия до 31 января 1963 года;</w:t>
      </w:r>
    </w:p>
    <w:p w14:paraId="02A0F835"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непосредственно участвовавших в подземных испытаниях ядерного оружия в условиях нештатных радиационных ситуаций и действия других поражающих факторов ядерного оружия;</w:t>
      </w:r>
    </w:p>
    <w:p w14:paraId="745EB0E3"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непосредственно участвовавших в ликвидации радиационных аварий, происшедших на ядерных установках надводных и подводных кораблей и на других военных объектах и зарегистрированных в установленном порядке федеральным органом исполнительной власти, уполномоченным в области обороны;</w:t>
      </w:r>
    </w:p>
    <w:p w14:paraId="6FB4F80A"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непосредственно участвовавших в работах (в том числе военнослужащих) по сборке ядерных зарядов до 31 декабря 1961 года;</w:t>
      </w:r>
    </w:p>
    <w:p w14:paraId="0C9C870E"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непосредственно участвовавших в подземных испытаниях ядерного оружия, проведении и обеспечении работ по сбору и захоронению радиоактивных веществ;</w:t>
      </w:r>
    </w:p>
    <w:p w14:paraId="6BF5DB75"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инвалидов Великой Отечественной войны;</w:t>
      </w:r>
    </w:p>
    <w:p w14:paraId="51F0FA42"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инвалидов из числа военнослужащих, ставших инвалидами I, II и III групп вследствие ранения, контузии или увечья, полученных при защите СССР, Российской Федерации или при исполнении иных обязанностей военной службы, либо полученных вследствие заболевания, связанного с пребыванием на фронте, либо из числа бывших партизан, а также других категорий инвалидов, приравненных по пенсионному обеспечению к указанным категориям военнослужащих;</w:t>
      </w:r>
    </w:p>
    <w:p w14:paraId="24BD9F67"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2) налоговый вычет в размере 500 рублей за каждый месяц налогового периода распространяется на следующие категории налогоплательщиков:</w:t>
      </w:r>
    </w:p>
    <w:p w14:paraId="1998FBB3"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Героев Советского Союза и Героев Российской Федерации, а также лиц, награжденных орденом Славы трех степеней;</w:t>
      </w:r>
    </w:p>
    <w:p w14:paraId="1CFCCE3B"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вольнонаемного состава Советской Армии и Военно-Морского Флота СССР, органов внутренних дел СССР и государственной безопасности СССР, занимавших штатные должности в воинских частях, штабах и учреждениях, входивших в состав действующей армии в период Великой Отечественной войны, либо лиц, находившихся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14:paraId="29807CDC"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участников Великой Отечественной войны, боевых операций по защите СССР из числа военнослужащих, проходивших службу в воинских частях, штабах и учреждениях, входивших в состав армии, и бывших партизан;</w:t>
      </w:r>
    </w:p>
    <w:p w14:paraId="4142CC14"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находившихся в Ленинграде в период его блокады в годы Великой Отечественной войны с 8 сентября 1941 года по 27 января 1944 года независимо от срока пребывания;</w:t>
      </w:r>
    </w:p>
    <w:p w14:paraId="3A9BF209"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lastRenderedPageBreak/>
        <w:t>бывших, в том числе несовершеннолетних, узников концлагерей, гетто и других мест принудительного содержания, созданных фашистской Германией и ее союзниками в период Второй мировой войны;</w:t>
      </w:r>
    </w:p>
    <w:p w14:paraId="0BA103C9"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инвалидов с детства, а также инвалидов I и II групп;</w:t>
      </w:r>
    </w:p>
    <w:p w14:paraId="3B1AF88E"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получивших или перенесших лучевую болезнь и другие заболевания, связанные с радиационной нагрузкой, вызванные последствиями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14:paraId="14BE44D1"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младший и средний медицинский персонал,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радиационного облучения при оказании медицинской помощи и обслуживании в период с 26 апреля по 30 июня 1986 года, а также лиц, пострадавших в результате катастрофы на Чернобыльской АЭС и являющихся источником ионизирующих излучений;</w:t>
      </w:r>
    </w:p>
    <w:p w14:paraId="6262C89C"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отдавших костный мозг для спасения жизни людей;</w:t>
      </w:r>
    </w:p>
    <w:p w14:paraId="02B6FBD7"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рабочих и служащих, а также бывших военнослужащих и уволившихся со службы лиц рядового и начальствующего состава органов внутренних дел, Государственной противопожарной службы, федеральной противопожарной службы Государственной противопожарной службы, лиц, проходивших службу в войсках национальной гвардии Российской Федерации и имеющих специальные звания полиции,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получивших профессиональные заболевания, связанные с радиационным воздействием на работах в зоне отчуждения Чернобыльской АЭС;</w:t>
      </w:r>
    </w:p>
    <w:p w14:paraId="40E8218D"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принимавших (в том числе временно направленных или командированных) в 1957-1958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Теча в 1949-1956 годах;</w:t>
      </w:r>
    </w:p>
    <w:p w14:paraId="245BEBC7"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 xml:space="preserve">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бывших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лицам относятся лица, выехавшие с 29 сентября 1957 </w:t>
      </w:r>
      <w:r w:rsidRPr="0031384B">
        <w:rPr>
          <w:rFonts w:ascii="Times New Roman" w:eastAsia="Times New Roman" w:hAnsi="Times New Roman" w:cs="Times New Roman"/>
          <w:color w:val="333333"/>
          <w:sz w:val="28"/>
          <w:szCs w:val="28"/>
          <w:lang w:eastAsia="ru-RU"/>
        </w:rPr>
        <w:lastRenderedPageBreak/>
        <w:t>года по 31 декабря 1958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по 1956 год включительно из населенных пунктов, подвергшихся радиоактивному загрязнению вследствие сбросов радиоактивных отходов в реку Теча;</w:t>
      </w:r>
    </w:p>
    <w:p w14:paraId="7570FBB2"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лиц, эвакуированных (в том числе выехавших добровольно) в 1986 году из зоны отчуждения Чернобыльской АЭС, подвергшейся радиоактивному загрязнению вследствие катастрофы на Чернобыльской АЭС,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14:paraId="0A74C3AB"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родителей и супругов военнослужащих, погибших вследствие ранения, контузии или увечья, полученных ими при защите СССР, Российской Федерации или при исполнении иных обязанностей военной службы, либо вследствие заболевания, связанного с пребыванием на фронте, а также родителей и супругов государственных служащих, погибших при исполнении служебных обязанностей. Указанный вычет предоставляется супругам погибших военнослужащих и государственных служащих, если они не вступили в повторный брак;</w:t>
      </w:r>
    </w:p>
    <w:p w14:paraId="3C832F18"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 xml:space="preserve">граждан, уволенных с военной службы или </w:t>
      </w:r>
      <w:proofErr w:type="spellStart"/>
      <w:r w:rsidRPr="0031384B">
        <w:rPr>
          <w:rFonts w:ascii="Times New Roman" w:eastAsia="Times New Roman" w:hAnsi="Times New Roman" w:cs="Times New Roman"/>
          <w:color w:val="333333"/>
          <w:sz w:val="28"/>
          <w:szCs w:val="28"/>
          <w:lang w:eastAsia="ru-RU"/>
        </w:rPr>
        <w:t>призывавшихся</w:t>
      </w:r>
      <w:proofErr w:type="spellEnd"/>
      <w:r w:rsidRPr="0031384B">
        <w:rPr>
          <w:rFonts w:ascii="Times New Roman" w:eastAsia="Times New Roman" w:hAnsi="Times New Roman" w:cs="Times New Roman"/>
          <w:color w:val="333333"/>
          <w:sz w:val="28"/>
          <w:szCs w:val="28"/>
          <w:lang w:eastAsia="ru-RU"/>
        </w:rPr>
        <w:t xml:space="preserve"> на военные сборы, выполнявших интернациональный долг в Республике Афганистан и других странах, в которых велись боевые действия, а также граждан,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14:paraId="0FB2797F"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3) утратил силу с 1 января 2012 г.;</w:t>
      </w:r>
    </w:p>
    <w:p w14:paraId="4CEBC571"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4) налоговый вычет за каждый месяц налогового периода распространяется на родителя, супруга (супругу) родителя, усыновителя, на обеспечении которых находится ребенок, в следующих размерах:</w:t>
      </w:r>
    </w:p>
    <w:p w14:paraId="0C0264C2"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1 400 рублей - на первого ребенка;</w:t>
      </w:r>
    </w:p>
    <w:p w14:paraId="52E01EBF"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1 400 рублей - на второго ребенка;</w:t>
      </w:r>
    </w:p>
    <w:p w14:paraId="7B086F08"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3 000 рублей - на третьего и каждого последующего ребенка;</w:t>
      </w:r>
    </w:p>
    <w:p w14:paraId="0D988A75"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14:paraId="30046A6B"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w:t>
      </w:r>
    </w:p>
    <w:p w14:paraId="34736263"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1 400 рублей - на первого ребенка;</w:t>
      </w:r>
    </w:p>
    <w:p w14:paraId="49924FCC"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1 400 рублей - на второго ребенка;</w:t>
      </w:r>
    </w:p>
    <w:p w14:paraId="0D0C2B2A"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3 000 рублей - на третьего и каждого последующего ребенка;</w:t>
      </w:r>
    </w:p>
    <w:p w14:paraId="26E0ACDF"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lastRenderedPageBreak/>
        <w:t>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14:paraId="1454ACD9"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14:paraId="0F77BF67"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14:paraId="7FF6793A"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Налоговый вычет предоставляется 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w:t>
      </w:r>
    </w:p>
    <w:p w14:paraId="2D95A9B9"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При этом физическим лицам, у которых ребенок (дети) находится (находятся) за пределами Российской Федерации, налоговый вычет предоставляется на основании документов, заверенных компетентными органами государства, в котором проживает (проживают) ребенок (дети).</w:t>
      </w:r>
    </w:p>
    <w:p w14:paraId="619CD73A"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14:paraId="58F9AEAD"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Налоговый вычет действует до месяца, в котором доход налогоплательщика (за исключением доходов от долевого участия в деятельности организаций, полученных в виде дивидендов физическими лицами, являющимися налоговыми резидентами Российской Федерации), исчисленный нарастающим итогом с начала налогового периода (в отношении которого предусмотрена налоговая ставка, установленная </w:t>
      </w:r>
      <w:hyperlink r:id="rId6" w:anchor="block_2241" w:history="1">
        <w:r w:rsidRPr="0031384B">
          <w:rPr>
            <w:rFonts w:ascii="Times New Roman" w:eastAsia="Times New Roman" w:hAnsi="Times New Roman" w:cs="Times New Roman"/>
            <w:color w:val="336699"/>
            <w:sz w:val="28"/>
            <w:szCs w:val="28"/>
            <w:u w:val="single"/>
            <w:lang w:eastAsia="ru-RU"/>
          </w:rPr>
          <w:t>пунктом 1 статьи 224</w:t>
        </w:r>
      </w:hyperlink>
      <w:r w:rsidRPr="0031384B">
        <w:rPr>
          <w:rFonts w:ascii="Times New Roman" w:eastAsia="Times New Roman" w:hAnsi="Times New Roman" w:cs="Times New Roman"/>
          <w:color w:val="333333"/>
          <w:sz w:val="28"/>
          <w:szCs w:val="28"/>
          <w:lang w:eastAsia="ru-RU"/>
        </w:rPr>
        <w:t> настоящего Кодекса) налоговым агентом, предоставляющим данный стандартный налоговый вычет, превысил 350 000 рублей.</w:t>
      </w:r>
    </w:p>
    <w:p w14:paraId="7DAEFE2F"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Начиная с месяца, в котором указанный доход превысил 350 000 рублей, налоговый вычет, предусмотренный настоящим подпунктом, не применяется.</w:t>
      </w:r>
    </w:p>
    <w:p w14:paraId="3D5A3B06"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Уменьшение налоговой базы производится с месяца рождения ребенка (детей), или с месяца, в котором произошло усыновление, установлена опека (попечительство), или с месяца вступления в силу договора о передаче ребенка (детей) на воспитание в семью и до конца того года, в котором ребенок (дети) достиг (достигли) возраста, указанного в </w:t>
      </w:r>
      <w:hyperlink r:id="rId7" w:anchor="block_21842" w:history="1">
        <w:r w:rsidRPr="0031384B">
          <w:rPr>
            <w:rFonts w:ascii="Times New Roman" w:eastAsia="Times New Roman" w:hAnsi="Times New Roman" w:cs="Times New Roman"/>
            <w:color w:val="336699"/>
            <w:sz w:val="28"/>
            <w:szCs w:val="28"/>
            <w:u w:val="single"/>
            <w:lang w:eastAsia="ru-RU"/>
          </w:rPr>
          <w:t>абзаце одиннадцатом</w:t>
        </w:r>
      </w:hyperlink>
      <w:r w:rsidRPr="0031384B">
        <w:rPr>
          <w:rFonts w:ascii="Times New Roman" w:eastAsia="Times New Roman" w:hAnsi="Times New Roman" w:cs="Times New Roman"/>
          <w:color w:val="333333"/>
          <w:sz w:val="28"/>
          <w:szCs w:val="28"/>
          <w:lang w:eastAsia="ru-RU"/>
        </w:rPr>
        <w:t> настоящего подпункта, или истек срок действия либо досрочно расторгнут договор о передаче ребенка (детей) на воспитание в семью, или смерти ребенка (детей). Налоговый вычет предоставляется за период обучения ребенка (детей) в организации, осуществляющей образовательную деятельность, включая академический отпуск, оформленный в установленном порядке в период обучения.</w:t>
      </w:r>
    </w:p>
    <w:p w14:paraId="49972906"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2. Налогоплательщикам, имеющим в соответствии с </w:t>
      </w:r>
      <w:hyperlink r:id="rId8" w:anchor="block_21811" w:history="1">
        <w:r w:rsidRPr="0031384B">
          <w:rPr>
            <w:rFonts w:ascii="Times New Roman" w:eastAsia="Times New Roman" w:hAnsi="Times New Roman" w:cs="Times New Roman"/>
            <w:color w:val="336699"/>
            <w:sz w:val="28"/>
            <w:szCs w:val="28"/>
            <w:u w:val="single"/>
            <w:lang w:eastAsia="ru-RU"/>
          </w:rPr>
          <w:t>подпунктами 1</w:t>
        </w:r>
      </w:hyperlink>
      <w:r w:rsidRPr="0031384B">
        <w:rPr>
          <w:rFonts w:ascii="Times New Roman" w:eastAsia="Times New Roman" w:hAnsi="Times New Roman" w:cs="Times New Roman"/>
          <w:color w:val="333333"/>
          <w:sz w:val="28"/>
          <w:szCs w:val="28"/>
          <w:lang w:eastAsia="ru-RU"/>
        </w:rPr>
        <w:t> и </w:t>
      </w:r>
      <w:hyperlink r:id="rId9" w:anchor="block_2182" w:history="1">
        <w:r w:rsidRPr="0031384B">
          <w:rPr>
            <w:rFonts w:ascii="Times New Roman" w:eastAsia="Times New Roman" w:hAnsi="Times New Roman" w:cs="Times New Roman"/>
            <w:color w:val="336699"/>
            <w:sz w:val="28"/>
            <w:szCs w:val="28"/>
            <w:u w:val="single"/>
            <w:lang w:eastAsia="ru-RU"/>
          </w:rPr>
          <w:t>2 пункта 1</w:t>
        </w:r>
      </w:hyperlink>
      <w:r w:rsidRPr="0031384B">
        <w:rPr>
          <w:rFonts w:ascii="Times New Roman" w:eastAsia="Times New Roman" w:hAnsi="Times New Roman" w:cs="Times New Roman"/>
          <w:color w:val="333333"/>
          <w:sz w:val="28"/>
          <w:szCs w:val="28"/>
          <w:lang w:eastAsia="ru-RU"/>
        </w:rPr>
        <w:t> настоящей статьи право более чем на один стандартный налоговый вычет, предоставляется максимальный из соответствующих вычетов.</w:t>
      </w:r>
    </w:p>
    <w:p w14:paraId="470DAED6"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Стандартный налоговый вычет, установленный </w:t>
      </w:r>
      <w:hyperlink r:id="rId10" w:anchor="block_21814" w:history="1">
        <w:r w:rsidRPr="0031384B">
          <w:rPr>
            <w:rFonts w:ascii="Times New Roman" w:eastAsia="Times New Roman" w:hAnsi="Times New Roman" w:cs="Times New Roman"/>
            <w:color w:val="336699"/>
            <w:sz w:val="28"/>
            <w:szCs w:val="28"/>
            <w:u w:val="single"/>
            <w:lang w:eastAsia="ru-RU"/>
          </w:rPr>
          <w:t>подпунктом 4 пункта 1</w:t>
        </w:r>
      </w:hyperlink>
      <w:r w:rsidRPr="0031384B">
        <w:rPr>
          <w:rFonts w:ascii="Times New Roman" w:eastAsia="Times New Roman" w:hAnsi="Times New Roman" w:cs="Times New Roman"/>
          <w:color w:val="333333"/>
          <w:sz w:val="28"/>
          <w:szCs w:val="28"/>
          <w:lang w:eastAsia="ru-RU"/>
        </w:rPr>
        <w:t> настоящей статьи, предоставляется независимо от предоставления стандартного налогового вычета, установленного подпунктами 1 и 2 пункта 1 настоящей статьи.</w:t>
      </w:r>
    </w:p>
    <w:p w14:paraId="72F9118B"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3. Установленные настоящей статьей стандартные налоговые вычеты предоставляются налогоплательщику одним из налоговых агентов, являющихся источником выплаты дохода, по выбору налогоплательщика на основании его письменного заявления и документов, подтверждающих право на такие налоговые вычеты.</w:t>
      </w:r>
    </w:p>
    <w:p w14:paraId="5822FE7A"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В случае начала работы налогоплательщика не с первого месяца налогового периода налоговые вычеты, предусмотренные </w:t>
      </w:r>
      <w:hyperlink r:id="rId11" w:anchor="block_21814" w:history="1">
        <w:r w:rsidRPr="0031384B">
          <w:rPr>
            <w:rFonts w:ascii="Times New Roman" w:eastAsia="Times New Roman" w:hAnsi="Times New Roman" w:cs="Times New Roman"/>
            <w:color w:val="336699"/>
            <w:sz w:val="28"/>
            <w:szCs w:val="28"/>
            <w:u w:val="single"/>
            <w:lang w:eastAsia="ru-RU"/>
          </w:rPr>
          <w:t>подпунктом 4 пункта 1</w:t>
        </w:r>
      </w:hyperlink>
      <w:r w:rsidRPr="0031384B">
        <w:rPr>
          <w:rFonts w:ascii="Times New Roman" w:eastAsia="Times New Roman" w:hAnsi="Times New Roman" w:cs="Times New Roman"/>
          <w:color w:val="333333"/>
          <w:sz w:val="28"/>
          <w:szCs w:val="28"/>
          <w:lang w:eastAsia="ru-RU"/>
        </w:rPr>
        <w:t> настоящей статьи, предоставляются по этому месту работы с учетом дохода, полученного с начала налогового периода по другому месту работы, в котором налогоплательщику предоставлялись налоговые вычеты. Сумма полученного дохода подтверждается справкой о полученных налогоплательщиком доходах, выданной налоговым агентом в соответствии с </w:t>
      </w:r>
      <w:hyperlink r:id="rId12" w:anchor="block_23003" w:history="1">
        <w:r w:rsidRPr="0031384B">
          <w:rPr>
            <w:rFonts w:ascii="Times New Roman" w:eastAsia="Times New Roman" w:hAnsi="Times New Roman" w:cs="Times New Roman"/>
            <w:color w:val="336699"/>
            <w:sz w:val="28"/>
            <w:szCs w:val="28"/>
            <w:u w:val="single"/>
            <w:lang w:eastAsia="ru-RU"/>
          </w:rPr>
          <w:t>пунктом 3 статьи 230</w:t>
        </w:r>
      </w:hyperlink>
      <w:r w:rsidRPr="0031384B">
        <w:rPr>
          <w:rFonts w:ascii="Times New Roman" w:eastAsia="Times New Roman" w:hAnsi="Times New Roman" w:cs="Times New Roman"/>
          <w:color w:val="333333"/>
          <w:sz w:val="28"/>
          <w:szCs w:val="28"/>
          <w:lang w:eastAsia="ru-RU"/>
        </w:rPr>
        <w:t> настоящего Кодекса.</w:t>
      </w:r>
    </w:p>
    <w:p w14:paraId="51896742" w14:textId="77777777" w:rsidR="0031384B" w:rsidRPr="0031384B" w:rsidRDefault="0031384B" w:rsidP="0031384B">
      <w:pPr>
        <w:spacing w:after="0" w:line="240" w:lineRule="auto"/>
        <w:ind w:firstLine="720"/>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4. В случае, если в течение налогового периода стандартные налоговые вычеты налогоплательщику не предоставлялись или были предоставлены в меньшем размере, чем предусмотрено настоящей статьей, то по окончании налогового периода на основании налоговой декларации и документов, подтверждающих право на такие вычеты, налоговым органом производится перерасчет налоговой базы с учетом предоставления стандартных налоговых вычетов в размерах, предусмотренных настоящей статьей.</w:t>
      </w:r>
    </w:p>
    <w:p w14:paraId="1F4B401F" w14:textId="77777777" w:rsidR="0031384B" w:rsidRPr="0031384B" w:rsidRDefault="0031384B" w:rsidP="0031384B">
      <w:pPr>
        <w:spacing w:after="0" w:line="240" w:lineRule="auto"/>
        <w:jc w:val="both"/>
        <w:rPr>
          <w:rFonts w:ascii="Times New Roman" w:eastAsia="Times New Roman" w:hAnsi="Times New Roman" w:cs="Times New Roman"/>
          <w:color w:val="333333"/>
          <w:sz w:val="28"/>
          <w:szCs w:val="28"/>
          <w:lang w:eastAsia="ru-RU"/>
        </w:rPr>
      </w:pPr>
      <w:r w:rsidRPr="0031384B">
        <w:rPr>
          <w:rFonts w:ascii="Times New Roman" w:eastAsia="Times New Roman" w:hAnsi="Times New Roman" w:cs="Times New Roman"/>
          <w:color w:val="333333"/>
          <w:sz w:val="28"/>
          <w:szCs w:val="28"/>
          <w:lang w:eastAsia="ru-RU"/>
        </w:rPr>
        <w:t> </w:t>
      </w:r>
    </w:p>
    <w:bookmarkEnd w:id="1"/>
    <w:p w14:paraId="290BC595" w14:textId="77777777" w:rsidR="008540BD" w:rsidRPr="0031384B" w:rsidRDefault="008540BD">
      <w:pPr>
        <w:rPr>
          <w:rFonts w:ascii="Times New Roman" w:hAnsi="Times New Roman" w:cs="Times New Roman"/>
          <w:sz w:val="28"/>
          <w:szCs w:val="28"/>
        </w:rPr>
      </w:pPr>
    </w:p>
    <w:sectPr w:rsidR="008540BD" w:rsidRPr="00313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B5"/>
    <w:rsid w:val="0031384B"/>
    <w:rsid w:val="008540BD"/>
    <w:rsid w:val="00A7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A361"/>
  <w15:chartTrackingRefBased/>
  <w15:docId w15:val="{34FCCA90-20AB-4FAC-B49E-D03C8C7D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13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84B"/>
    <w:rPr>
      <w:rFonts w:ascii="Times New Roman" w:eastAsia="Times New Roman" w:hAnsi="Times New Roman" w:cs="Times New Roman"/>
      <w:b/>
      <w:bCs/>
      <w:kern w:val="36"/>
      <w:sz w:val="48"/>
      <w:szCs w:val="48"/>
      <w:lang w:eastAsia="ru-RU"/>
    </w:rPr>
  </w:style>
  <w:style w:type="paragraph" w:customStyle="1" w:styleId="s15">
    <w:name w:val="s_15"/>
    <w:basedOn w:val="a"/>
    <w:rsid w:val="00313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1384B"/>
  </w:style>
  <w:style w:type="paragraph" w:customStyle="1" w:styleId="s1">
    <w:name w:val="s_1"/>
    <w:basedOn w:val="a"/>
    <w:rsid w:val="00313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384B"/>
    <w:rPr>
      <w:color w:val="0000FF"/>
      <w:u w:val="single"/>
    </w:rPr>
  </w:style>
  <w:style w:type="paragraph" w:styleId="a4">
    <w:name w:val="Normal (Web)"/>
    <w:basedOn w:val="a"/>
    <w:uiPriority w:val="99"/>
    <w:semiHidden/>
    <w:unhideWhenUsed/>
    <w:rsid w:val="003138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1458a0a55ea2ab5e42fde990265bcdf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alog.garant.ru/fns/nk/1458a0a55ea2ab5e42fde990265bcdf4/" TargetMode="External"/><Relationship Id="rId12" Type="http://schemas.openxmlformats.org/officeDocument/2006/relationships/hyperlink" Target="http://nalog.garant.ru/fns/nk/9b4beb5583a0da68549c480ddd5b08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log.garant.ru/fns/nk/3cc8460732effc45905a5a1a311b451e/" TargetMode="External"/><Relationship Id="rId11" Type="http://schemas.openxmlformats.org/officeDocument/2006/relationships/hyperlink" Target="http://nalog.garant.ru/fns/nk/1458a0a55ea2ab5e42fde990265bcdf4/" TargetMode="External"/><Relationship Id="rId5" Type="http://schemas.openxmlformats.org/officeDocument/2006/relationships/hyperlink" Target="http://nalog.garant.ru/fns/nk/6a3eaa02cea3fe2db1e9b04e275d1439/" TargetMode="External"/><Relationship Id="rId10" Type="http://schemas.openxmlformats.org/officeDocument/2006/relationships/hyperlink" Target="http://nalog.garant.ru/fns/nk/1458a0a55ea2ab5e42fde990265bcdf4/" TargetMode="External"/><Relationship Id="rId4" Type="http://schemas.openxmlformats.org/officeDocument/2006/relationships/hyperlink" Target="http://nalog.garant.ru/fns/nk/6a3eaa02cea3fe2db1e9b04e275d1439/" TargetMode="External"/><Relationship Id="rId9" Type="http://schemas.openxmlformats.org/officeDocument/2006/relationships/hyperlink" Target="http://nalog.garant.ru/fns/nk/1458a0a55ea2ab5e42fde990265bcdf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2845</Words>
  <Characters>16219</Characters>
  <Application>Microsoft Office Word</Application>
  <DocSecurity>0</DocSecurity>
  <Lines>135</Lines>
  <Paragraphs>38</Paragraphs>
  <ScaleCrop>false</ScaleCrop>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cp:revision>
  <dcterms:created xsi:type="dcterms:W3CDTF">2022-08-18T09:05:00Z</dcterms:created>
  <dcterms:modified xsi:type="dcterms:W3CDTF">2022-08-18T09:05:00Z</dcterms:modified>
</cp:coreProperties>
</file>